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6139A2" w:rsidP="00CF1133">
      <w:pPr>
        <w:ind w:left="-710" w:firstLine="695"/>
        <w:rPr>
          <w:b/>
          <w:bCs/>
        </w:rPr>
      </w:pPr>
    </w:p>
    <w:p w:rsidR="00CF1133" w:rsidRDefault="006139A2" w:rsidP="00CF1133">
      <w:pPr>
        <w:ind w:left="-710" w:firstLine="695"/>
        <w:rPr>
          <w:b/>
          <w:bCs/>
        </w:rPr>
      </w:pPr>
      <w:r>
        <w:rPr>
          <w:b/>
          <w:bCs/>
        </w:rPr>
        <w:t>LEP – Sub Committee</w:t>
      </w:r>
    </w:p>
    <w:p w:rsidR="00BE3AA8" w:rsidRDefault="006139A2" w:rsidP="00CF1133">
      <w:pPr>
        <w:ind w:left="-710" w:firstLine="695"/>
        <w:rPr>
          <w:b/>
          <w:bCs/>
        </w:rPr>
      </w:pPr>
    </w:p>
    <w:p w:rsidR="00BE3AA8" w:rsidRDefault="006139A2"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Growth Deal Management Board</w:t>
      </w:r>
      <w:r>
        <w:rPr>
          <w:rFonts w:eastAsia="Times New Roman" w:cs="Times New Roman"/>
          <w:b/>
          <w:color w:val="auto"/>
          <w:szCs w:val="20"/>
        </w:rPr>
        <w:fldChar w:fldCharType="end"/>
      </w:r>
    </w:p>
    <w:p w:rsidR="00CF1133" w:rsidRPr="00BC4466" w:rsidRDefault="006139A2" w:rsidP="00CF1133">
      <w:pPr>
        <w:spacing w:after="0" w:line="256" w:lineRule="auto"/>
        <w:ind w:left="0" w:firstLine="0"/>
        <w:rPr>
          <w:b/>
          <w:bCs/>
        </w:rPr>
      </w:pPr>
    </w:p>
    <w:p w:rsidR="00BC4466" w:rsidRPr="00BC4466" w:rsidRDefault="006139A2" w:rsidP="00CF1133">
      <w:pPr>
        <w:spacing w:after="0" w:line="256" w:lineRule="auto"/>
        <w:ind w:left="0" w:firstLine="0"/>
        <w:rPr>
          <w:b/>
          <w:bCs/>
        </w:rPr>
      </w:pPr>
      <w:r w:rsidRPr="00BC4466">
        <w:rPr>
          <w:b/>
        </w:rPr>
        <w:t xml:space="preserve">Private and Confidential: </w:t>
      </w:r>
      <w:r>
        <w:rPr>
          <w:b/>
        </w:rPr>
        <w:t>NO</w:t>
      </w:r>
    </w:p>
    <w:p w:rsidR="00BC4466" w:rsidRDefault="006139A2" w:rsidP="00CF1133">
      <w:pPr>
        <w:spacing w:after="0" w:line="256" w:lineRule="auto"/>
        <w:ind w:left="0" w:firstLine="0"/>
      </w:pPr>
    </w:p>
    <w:p w:rsidR="00A3358A" w:rsidRDefault="006139A2" w:rsidP="00A3358A">
      <w:r w:rsidRPr="00B959D4">
        <w:rPr>
          <w:b/>
        </w:rPr>
        <w:t>Date:</w:t>
      </w:r>
      <w:r>
        <w:t xml:space="preserve"> </w:t>
      </w:r>
      <w:r>
        <w:fldChar w:fldCharType="begin"/>
      </w:r>
      <w:r>
        <w:instrText xml:space="preserve"> DOCPROPERTY  MeetingDate  \* MERGEFORMAT </w:instrText>
      </w:r>
      <w:r>
        <w:fldChar w:fldCharType="separate"/>
      </w:r>
      <w:r>
        <w:t>Monday, 2 July 2018</w:t>
      </w:r>
      <w:r>
        <w:fldChar w:fldCharType="end"/>
      </w:r>
    </w:p>
    <w:p w:rsidR="00A3358A" w:rsidRDefault="006139A2" w:rsidP="00A3358A"/>
    <w:p w:rsidR="00A3358A" w:rsidRDefault="006139A2"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 xml:space="preserve">Growth </w:t>
      </w:r>
      <w:r>
        <w:rPr>
          <w:b/>
        </w:rPr>
        <w:t>Deal Programme - Governance Documents</w:t>
      </w:r>
      <w:r>
        <w:rPr>
          <w:b/>
        </w:rPr>
        <w:fldChar w:fldCharType="end"/>
      </w:r>
    </w:p>
    <w:p w:rsidR="007D2227" w:rsidRDefault="006139A2" w:rsidP="007D2227">
      <w:pPr>
        <w:ind w:left="0" w:firstLine="0"/>
      </w:pPr>
      <w:r>
        <w:t>(</w:t>
      </w:r>
      <w:r>
        <w:t>Appendices 'A', 'B' and 'C' refer</w:t>
      </w:r>
      <w:r>
        <w:t>)</w:t>
      </w:r>
      <w:bookmarkStart w:id="0" w:name="_GoBack"/>
      <w:bookmarkEnd w:id="0"/>
    </w:p>
    <w:p w:rsidR="007D2227" w:rsidRDefault="006139A2" w:rsidP="007D2227">
      <w:pPr>
        <w:ind w:left="0" w:firstLine="0"/>
      </w:pPr>
    </w:p>
    <w:p w:rsidR="00CF1133" w:rsidRPr="002B3CC5" w:rsidRDefault="006139A2" w:rsidP="00CE4052">
      <w:pPr>
        <w:ind w:left="0" w:firstLine="0"/>
        <w:rPr>
          <w:b/>
        </w:rPr>
      </w:pPr>
      <w:r w:rsidRPr="007D2227">
        <w:rPr>
          <w:b/>
        </w:rPr>
        <w:t>Rep</w:t>
      </w:r>
      <w:r w:rsidRPr="00F41096">
        <w:rPr>
          <w:b/>
        </w:rPr>
        <w:t>ort Author:</w:t>
      </w:r>
      <w:r>
        <w:rPr>
          <w:b/>
        </w:rPr>
        <w:t xml:space="preserve"> </w:t>
      </w:r>
      <w:r>
        <w:rPr>
          <w:b/>
        </w:rPr>
        <w:fldChar w:fldCharType="begin"/>
      </w:r>
      <w:r>
        <w:rPr>
          <w:b/>
        </w:rPr>
        <w:instrText xml:space="preserve"> DOCPROPERTY  LeadOfficer  \* MERGEFORMAT </w:instrText>
      </w:r>
      <w:r>
        <w:rPr>
          <w:b/>
        </w:rPr>
        <w:fldChar w:fldCharType="separate"/>
      </w:r>
      <w:r>
        <w:rPr>
          <w:b/>
        </w:rPr>
        <w:t>Anne-Marie Parkinson</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end"/>
      </w:r>
      <w:r>
        <w:rPr>
          <w:b/>
        </w:rPr>
        <w:fldChar w:fldCharType="begin"/>
      </w:r>
      <w:r>
        <w:rPr>
          <w:b/>
        </w:rPr>
        <w:instrText xml:space="preserve"> DOCPROPERTY  LeadOfficerEmail  \* MERGEFORMAT </w:instrText>
      </w:r>
      <w:r>
        <w:rPr>
          <w:b/>
        </w:rPr>
        <w:fldChar w:fldCharType="separate"/>
      </w:r>
      <w:r>
        <w:rPr>
          <w:b/>
        </w:rPr>
        <w:t>anne</w:t>
      </w:r>
      <w:r>
        <w:rPr>
          <w:b/>
        </w:rPr>
        <w:t>-marie.parkinson@lancashire.gov.uk</w:t>
      </w:r>
      <w:r>
        <w:rPr>
          <w:b/>
        </w:rPr>
        <w:fldChar w:fldCharType="end"/>
      </w:r>
    </w:p>
    <w:p w:rsidR="002B3CC5" w:rsidRDefault="006139A2"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7614A" w:rsidTr="008B5354">
        <w:tc>
          <w:tcPr>
            <w:tcW w:w="9180" w:type="dxa"/>
          </w:tcPr>
          <w:p w:rsidR="002B3CC5" w:rsidRDefault="006139A2" w:rsidP="00841251">
            <w:pPr>
              <w:pStyle w:val="Header"/>
            </w:pPr>
          </w:p>
          <w:p w:rsidR="002B3CC5" w:rsidRPr="002B3CC5" w:rsidRDefault="006139A2" w:rsidP="00841251">
            <w:pPr>
              <w:pStyle w:val="Heading6"/>
              <w:rPr>
                <w:rFonts w:ascii="Arial" w:hAnsi="Arial"/>
                <w:b/>
                <w:color w:val="auto"/>
              </w:rPr>
            </w:pPr>
            <w:r w:rsidRPr="002B3CC5">
              <w:rPr>
                <w:rFonts w:ascii="Arial" w:hAnsi="Arial"/>
                <w:b/>
                <w:color w:val="auto"/>
              </w:rPr>
              <w:t>Executive Summary</w:t>
            </w:r>
          </w:p>
          <w:p w:rsidR="002B3CC5" w:rsidRPr="002B3CC5" w:rsidRDefault="006139A2" w:rsidP="00841251">
            <w:pPr>
              <w:rPr>
                <w:color w:val="auto"/>
              </w:rPr>
            </w:pPr>
          </w:p>
          <w:p w:rsidR="00FD0FA6" w:rsidRDefault="006139A2" w:rsidP="00841251">
            <w:pPr>
              <w:rPr>
                <w:color w:val="auto"/>
              </w:rPr>
            </w:pPr>
            <w:r>
              <w:rPr>
                <w:color w:val="auto"/>
              </w:rPr>
              <w:t>This report contains refreshed Growth Deal programme governance documents,</w:t>
            </w:r>
          </w:p>
          <w:p w:rsidR="00F965BC" w:rsidRDefault="006139A2" w:rsidP="00841251">
            <w:pPr>
              <w:rPr>
                <w:color w:val="auto"/>
              </w:rPr>
            </w:pPr>
            <w:r>
              <w:rPr>
                <w:color w:val="auto"/>
              </w:rPr>
              <w:t>specially:</w:t>
            </w:r>
          </w:p>
          <w:p w:rsidR="00F965BC" w:rsidRDefault="006139A2" w:rsidP="00841251">
            <w:pPr>
              <w:rPr>
                <w:color w:val="auto"/>
              </w:rPr>
            </w:pPr>
          </w:p>
          <w:p w:rsidR="00F965BC" w:rsidRDefault="006139A2" w:rsidP="00F965BC">
            <w:pPr>
              <w:pStyle w:val="ListParagraph"/>
              <w:numPr>
                <w:ilvl w:val="0"/>
                <w:numId w:val="4"/>
              </w:numPr>
              <w:rPr>
                <w:color w:val="auto"/>
              </w:rPr>
            </w:pPr>
            <w:r>
              <w:rPr>
                <w:color w:val="auto"/>
              </w:rPr>
              <w:t>Growth Deal Implementation Plan (GDIP);</w:t>
            </w:r>
          </w:p>
          <w:p w:rsidR="00F965BC" w:rsidRDefault="006139A2" w:rsidP="00F965BC">
            <w:pPr>
              <w:pStyle w:val="ListParagraph"/>
              <w:numPr>
                <w:ilvl w:val="0"/>
                <w:numId w:val="4"/>
              </w:numPr>
              <w:rPr>
                <w:color w:val="auto"/>
              </w:rPr>
            </w:pPr>
            <w:r>
              <w:rPr>
                <w:color w:val="auto"/>
              </w:rPr>
              <w:t>Growth Deal Monitoring &amp; Evaluation Sub Group Terms of Reference; and</w:t>
            </w:r>
          </w:p>
          <w:p w:rsidR="00CA2E50" w:rsidRDefault="006139A2" w:rsidP="00F965BC">
            <w:pPr>
              <w:pStyle w:val="ListParagraph"/>
              <w:numPr>
                <w:ilvl w:val="0"/>
                <w:numId w:val="4"/>
              </w:numPr>
              <w:rPr>
                <w:color w:val="auto"/>
              </w:rPr>
            </w:pPr>
            <w:r>
              <w:rPr>
                <w:color w:val="auto"/>
              </w:rPr>
              <w:t>Growth Deal Monitoring and Evaluation Framework.</w:t>
            </w:r>
          </w:p>
          <w:p w:rsidR="002B3CC5" w:rsidRPr="002B3CC5" w:rsidRDefault="006139A2" w:rsidP="00841251">
            <w:pPr>
              <w:rPr>
                <w:color w:val="auto"/>
              </w:rPr>
            </w:pPr>
          </w:p>
          <w:p w:rsidR="002B3CC5" w:rsidRPr="002B3CC5" w:rsidRDefault="006139A2" w:rsidP="00841251">
            <w:pPr>
              <w:pStyle w:val="Heading5"/>
              <w:rPr>
                <w:rFonts w:ascii="Arial" w:hAnsi="Arial"/>
                <w:b/>
                <w:color w:val="auto"/>
              </w:rPr>
            </w:pPr>
            <w:r w:rsidRPr="002B3CC5">
              <w:rPr>
                <w:rFonts w:ascii="Arial" w:hAnsi="Arial"/>
                <w:b/>
                <w:color w:val="auto"/>
              </w:rPr>
              <w:t>Recommendation</w:t>
            </w:r>
          </w:p>
          <w:p w:rsidR="006139A2" w:rsidRDefault="006139A2" w:rsidP="00841251">
            <w:pPr>
              <w:rPr>
                <w:color w:val="auto"/>
              </w:rPr>
            </w:pPr>
          </w:p>
          <w:p w:rsidR="005A3524" w:rsidRDefault="006139A2" w:rsidP="006139A2">
            <w:pPr>
              <w:ind w:left="0" w:firstLine="0"/>
              <w:rPr>
                <w:rFonts w:ascii="ArialMT" w:eastAsiaTheme="minorHAnsi" w:hAnsi="ArialMT" w:cs="ArialMT"/>
                <w:color w:val="auto"/>
                <w:lang w:eastAsia="en-US"/>
              </w:rPr>
            </w:pPr>
            <w:r>
              <w:rPr>
                <w:rFonts w:ascii="ArialMT" w:eastAsiaTheme="minorHAnsi" w:hAnsi="ArialMT" w:cs="ArialMT"/>
                <w:color w:val="auto"/>
                <w:lang w:eastAsia="en-US"/>
              </w:rPr>
              <w:t>The Growth Deal Management Board is asked to a</w:t>
            </w:r>
            <w:r w:rsidRPr="00CA2E50">
              <w:rPr>
                <w:rFonts w:ascii="ArialMT" w:eastAsiaTheme="minorHAnsi" w:hAnsi="ArialMT" w:cs="ArialMT"/>
                <w:color w:val="auto"/>
                <w:lang w:eastAsia="en-US"/>
              </w:rPr>
              <w:t>pprove the refreshed</w:t>
            </w:r>
            <w:r>
              <w:rPr>
                <w:rFonts w:ascii="ArialMT" w:eastAsiaTheme="minorHAnsi" w:hAnsi="ArialMT" w:cs="ArialMT"/>
                <w:color w:val="auto"/>
                <w:lang w:eastAsia="en-US"/>
              </w:rPr>
              <w:t xml:space="preserve"> documents attached as appendices</w:t>
            </w:r>
            <w:r>
              <w:rPr>
                <w:rFonts w:ascii="ArialMT" w:eastAsiaTheme="minorHAnsi" w:hAnsi="ArialMT" w:cs="ArialMT"/>
                <w:color w:val="auto"/>
                <w:lang w:eastAsia="en-US"/>
              </w:rPr>
              <w:t>, namely the:</w:t>
            </w:r>
          </w:p>
          <w:p w:rsidR="005A3524" w:rsidRDefault="006139A2" w:rsidP="005A3524">
            <w:pPr>
              <w:rPr>
                <w:rFonts w:ascii="ArialMT" w:eastAsiaTheme="minorHAnsi" w:hAnsi="ArialMT" w:cs="ArialMT"/>
                <w:color w:val="auto"/>
                <w:lang w:eastAsia="en-US"/>
              </w:rPr>
            </w:pPr>
          </w:p>
          <w:p w:rsidR="005A3524" w:rsidRPr="005A3524" w:rsidRDefault="006139A2" w:rsidP="005A3524">
            <w:pPr>
              <w:pStyle w:val="ListParagraph"/>
              <w:numPr>
                <w:ilvl w:val="0"/>
                <w:numId w:val="6"/>
              </w:numPr>
              <w:rPr>
                <w:color w:val="auto"/>
              </w:rPr>
            </w:pPr>
            <w:r w:rsidRPr="005A3524">
              <w:rPr>
                <w:rFonts w:ascii="ArialMT" w:eastAsiaTheme="minorHAnsi" w:hAnsi="ArialMT" w:cs="ArialMT"/>
                <w:color w:val="auto"/>
                <w:lang w:eastAsia="en-US"/>
              </w:rPr>
              <w:t>Growth Deal Implementation Plan;</w:t>
            </w:r>
          </w:p>
          <w:p w:rsidR="005A3524" w:rsidRDefault="006139A2" w:rsidP="00FD0FA6">
            <w:pPr>
              <w:pStyle w:val="ListParagraph"/>
              <w:numPr>
                <w:ilvl w:val="0"/>
                <w:numId w:val="6"/>
              </w:numPr>
              <w:rPr>
                <w:color w:val="auto"/>
              </w:rPr>
            </w:pPr>
            <w:r w:rsidRPr="005A3524">
              <w:rPr>
                <w:color w:val="auto"/>
              </w:rPr>
              <w:t>Growth Deal Monitoring &amp; Evaluation Sub Group Terms of Reference</w:t>
            </w:r>
            <w:r>
              <w:rPr>
                <w:color w:val="auto"/>
              </w:rPr>
              <w:t xml:space="preserve">; </w:t>
            </w:r>
            <w:r>
              <w:rPr>
                <w:color w:val="auto"/>
              </w:rPr>
              <w:t>and</w:t>
            </w:r>
          </w:p>
          <w:p w:rsidR="005A3524" w:rsidRPr="005A3524" w:rsidRDefault="006139A2" w:rsidP="00FD0FA6">
            <w:pPr>
              <w:pStyle w:val="ListParagraph"/>
              <w:numPr>
                <w:ilvl w:val="0"/>
                <w:numId w:val="6"/>
              </w:numPr>
              <w:rPr>
                <w:color w:val="auto"/>
              </w:rPr>
            </w:pPr>
            <w:r w:rsidRPr="005A3524">
              <w:rPr>
                <w:color w:val="auto"/>
              </w:rPr>
              <w:t>Growth Deal Monitoring and Evaluation Framework.</w:t>
            </w:r>
          </w:p>
          <w:p w:rsidR="002B3CC5" w:rsidRDefault="006139A2" w:rsidP="005A3524"/>
        </w:tc>
      </w:tr>
    </w:tbl>
    <w:p w:rsidR="002B3CC5" w:rsidRDefault="006139A2" w:rsidP="002B3CC5">
      <w:pPr>
        <w:pStyle w:val="Header"/>
      </w:pPr>
    </w:p>
    <w:p w:rsidR="00A3358A" w:rsidRDefault="006139A2" w:rsidP="00A3358A">
      <w:pPr>
        <w:rPr>
          <w:b/>
        </w:rPr>
      </w:pPr>
      <w:r>
        <w:rPr>
          <w:b/>
        </w:rPr>
        <w:t xml:space="preserve">Background and Advice </w:t>
      </w:r>
    </w:p>
    <w:p w:rsidR="00A3358A" w:rsidRDefault="006139A2" w:rsidP="00A3358A">
      <w:pPr>
        <w:rPr>
          <w:b/>
        </w:rPr>
      </w:pPr>
    </w:p>
    <w:p w:rsidR="00CA2E50" w:rsidRDefault="006139A2" w:rsidP="005A3524">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 xml:space="preserve">The governance documents as detailed below from part of the Growth Deal Programme governance structure. </w:t>
      </w:r>
    </w:p>
    <w:p w:rsidR="00CA2E50" w:rsidRDefault="006139A2" w:rsidP="005A3524">
      <w:pPr>
        <w:autoSpaceDE w:val="0"/>
        <w:autoSpaceDN w:val="0"/>
        <w:adjustRightInd w:val="0"/>
        <w:spacing w:after="0" w:line="240" w:lineRule="auto"/>
        <w:ind w:left="0" w:firstLine="0"/>
        <w:jc w:val="both"/>
        <w:rPr>
          <w:rFonts w:ascii="ArialMT" w:eastAsiaTheme="minorHAnsi" w:hAnsi="ArialMT" w:cs="ArialMT"/>
          <w:color w:val="auto"/>
          <w:lang w:eastAsia="en-US"/>
        </w:rPr>
      </w:pPr>
    </w:p>
    <w:p w:rsidR="005A3524" w:rsidRDefault="006139A2" w:rsidP="005A3524">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 xml:space="preserve">These documents have been refreshed in accordance with their </w:t>
      </w:r>
      <w:r>
        <w:rPr>
          <w:rFonts w:ascii="ArialMT" w:eastAsiaTheme="minorHAnsi" w:hAnsi="ArialMT" w:cs="ArialMT"/>
          <w:color w:val="auto"/>
          <w:lang w:eastAsia="en-US"/>
        </w:rPr>
        <w:t>individual requirements as detailed below.</w:t>
      </w:r>
    </w:p>
    <w:p w:rsidR="00CA2E50" w:rsidRDefault="006139A2" w:rsidP="005A3524">
      <w:pPr>
        <w:autoSpaceDE w:val="0"/>
        <w:autoSpaceDN w:val="0"/>
        <w:adjustRightInd w:val="0"/>
        <w:spacing w:after="0" w:line="240" w:lineRule="auto"/>
        <w:ind w:left="0" w:firstLine="0"/>
        <w:jc w:val="both"/>
        <w:rPr>
          <w:rFonts w:ascii="ArialMT" w:eastAsiaTheme="minorHAnsi" w:hAnsi="ArialMT" w:cs="ArialMT"/>
          <w:color w:val="auto"/>
          <w:lang w:eastAsia="en-US"/>
        </w:rPr>
      </w:pPr>
      <w:r>
        <w:rPr>
          <w:rFonts w:ascii="ArialMT" w:eastAsiaTheme="minorHAnsi" w:hAnsi="ArialMT" w:cs="ArialMT"/>
          <w:color w:val="auto"/>
          <w:lang w:eastAsia="en-US"/>
        </w:rPr>
        <w:t xml:space="preserve"> </w:t>
      </w:r>
    </w:p>
    <w:p w:rsidR="005A3524" w:rsidRDefault="006139A2" w:rsidP="005A3524">
      <w:pPr>
        <w:autoSpaceDE w:val="0"/>
        <w:autoSpaceDN w:val="0"/>
        <w:adjustRightInd w:val="0"/>
        <w:spacing w:after="0" w:line="240" w:lineRule="auto"/>
        <w:ind w:left="0" w:firstLine="0"/>
        <w:jc w:val="both"/>
        <w:rPr>
          <w:rFonts w:ascii="ArialMT" w:eastAsiaTheme="minorHAnsi" w:hAnsi="ArialMT" w:cs="ArialMT"/>
          <w:color w:val="auto"/>
          <w:lang w:eastAsia="en-US"/>
        </w:rPr>
      </w:pPr>
      <w:r w:rsidRPr="005A3524">
        <w:rPr>
          <w:rFonts w:ascii="ArialMT" w:eastAsiaTheme="minorHAnsi" w:hAnsi="ArialMT" w:cs="ArialMT"/>
          <w:color w:val="auto"/>
          <w:u w:val="single"/>
          <w:lang w:eastAsia="en-US"/>
        </w:rPr>
        <w:t>Growth Deal Implementation Plan (GDIP)</w:t>
      </w:r>
      <w:r>
        <w:rPr>
          <w:rFonts w:ascii="ArialMT" w:eastAsiaTheme="minorHAnsi" w:hAnsi="ArialMT" w:cs="ArialMT"/>
          <w:color w:val="auto"/>
          <w:lang w:eastAsia="en-US"/>
        </w:rPr>
        <w:t xml:space="preserve"> </w:t>
      </w:r>
    </w:p>
    <w:p w:rsidR="005A3524" w:rsidRDefault="006139A2" w:rsidP="005A3524">
      <w:pPr>
        <w:autoSpaceDE w:val="0"/>
        <w:autoSpaceDN w:val="0"/>
        <w:adjustRightInd w:val="0"/>
        <w:spacing w:after="0" w:line="240" w:lineRule="auto"/>
        <w:ind w:left="0" w:firstLine="0"/>
        <w:jc w:val="both"/>
        <w:rPr>
          <w:rFonts w:ascii="ArialMT" w:eastAsiaTheme="minorHAnsi" w:hAnsi="ArialMT" w:cs="ArialMT"/>
          <w:color w:val="auto"/>
          <w:lang w:eastAsia="en-US"/>
        </w:rPr>
      </w:pPr>
    </w:p>
    <w:p w:rsidR="005A3524" w:rsidRDefault="006139A2" w:rsidP="005A3524">
      <w:pPr>
        <w:autoSpaceDE w:val="0"/>
        <w:autoSpaceDN w:val="0"/>
        <w:adjustRightInd w:val="0"/>
        <w:spacing w:after="0" w:line="240" w:lineRule="auto"/>
        <w:ind w:left="0" w:firstLine="0"/>
        <w:jc w:val="both"/>
        <w:rPr>
          <w:rFonts w:ascii="ArialMT" w:eastAsiaTheme="minorHAnsi" w:hAnsi="ArialMT" w:cs="ArialMT"/>
          <w:bCs/>
          <w:color w:val="auto"/>
          <w:lang w:eastAsia="en-US"/>
        </w:rPr>
      </w:pPr>
      <w:r>
        <w:rPr>
          <w:rFonts w:ascii="ArialMT" w:eastAsiaTheme="minorHAnsi" w:hAnsi="ArialMT" w:cs="ArialMT"/>
          <w:color w:val="auto"/>
          <w:lang w:eastAsia="en-US"/>
        </w:rPr>
        <w:t>The GDIP s</w:t>
      </w:r>
      <w:r w:rsidRPr="005A3524">
        <w:rPr>
          <w:rFonts w:ascii="ArialMT" w:eastAsiaTheme="minorHAnsi" w:hAnsi="ArialMT" w:cs="ArialMT"/>
          <w:bCs/>
          <w:color w:val="auto"/>
          <w:lang w:eastAsia="en-US"/>
        </w:rPr>
        <w:t>ets out the arrangements for the Growth Deal</w:t>
      </w:r>
      <w:r>
        <w:rPr>
          <w:rFonts w:ascii="ArialMT" w:eastAsiaTheme="minorHAnsi" w:hAnsi="ArialMT" w:cs="ArialMT"/>
          <w:bCs/>
          <w:color w:val="auto"/>
          <w:lang w:eastAsia="en-US"/>
        </w:rPr>
        <w:t>'s</w:t>
      </w:r>
      <w:r w:rsidRPr="005A3524">
        <w:rPr>
          <w:rFonts w:ascii="ArialMT" w:eastAsiaTheme="minorHAnsi" w:hAnsi="ArialMT" w:cs="ArialMT"/>
          <w:bCs/>
          <w:color w:val="auto"/>
          <w:lang w:eastAsia="en-US"/>
        </w:rPr>
        <w:t xml:space="preserve"> implementation outlining critical financial and project delivery milestones and risks, and the management mechani</w:t>
      </w:r>
      <w:r w:rsidRPr="005A3524">
        <w:rPr>
          <w:rFonts w:ascii="ArialMT" w:eastAsiaTheme="minorHAnsi" w:hAnsi="ArialMT" w:cs="ArialMT"/>
          <w:bCs/>
          <w:color w:val="auto"/>
          <w:lang w:eastAsia="en-US"/>
        </w:rPr>
        <w:t xml:space="preserve">sms in support of government monitoring and reporting processes. It also sets </w:t>
      </w:r>
      <w:r w:rsidRPr="005A3524">
        <w:rPr>
          <w:rFonts w:ascii="ArialMT" w:eastAsiaTheme="minorHAnsi" w:hAnsi="ArialMT" w:cs="ArialMT"/>
          <w:bCs/>
          <w:color w:val="auto"/>
          <w:lang w:eastAsia="en-US"/>
        </w:rPr>
        <w:lastRenderedPageBreak/>
        <w:t xml:space="preserve">out the broad economic development context and Growth Deal priorities that project outcomes are working towards.   </w:t>
      </w:r>
    </w:p>
    <w:p w:rsidR="00387EE0" w:rsidRDefault="006139A2" w:rsidP="005A3524">
      <w:pPr>
        <w:autoSpaceDE w:val="0"/>
        <w:autoSpaceDN w:val="0"/>
        <w:adjustRightInd w:val="0"/>
        <w:spacing w:after="0" w:line="240" w:lineRule="auto"/>
        <w:ind w:left="0" w:firstLine="0"/>
        <w:jc w:val="both"/>
        <w:rPr>
          <w:rFonts w:ascii="ArialMT" w:eastAsiaTheme="minorHAnsi" w:hAnsi="ArialMT" w:cs="ArialMT"/>
          <w:bCs/>
          <w:color w:val="auto"/>
          <w:lang w:eastAsia="en-US"/>
        </w:rPr>
      </w:pPr>
    </w:p>
    <w:p w:rsidR="00BB0754" w:rsidRDefault="006139A2" w:rsidP="005A3524">
      <w:pPr>
        <w:autoSpaceDE w:val="0"/>
        <w:autoSpaceDN w:val="0"/>
        <w:adjustRightInd w:val="0"/>
        <w:spacing w:after="0" w:line="240" w:lineRule="auto"/>
        <w:ind w:left="0" w:firstLine="0"/>
        <w:jc w:val="both"/>
        <w:rPr>
          <w:rFonts w:ascii="ArialMT" w:eastAsiaTheme="minorHAnsi" w:hAnsi="ArialMT" w:cs="ArialMT"/>
          <w:bCs/>
          <w:color w:val="auto"/>
          <w:lang w:eastAsia="en-US"/>
        </w:rPr>
      </w:pPr>
      <w:r>
        <w:rPr>
          <w:rFonts w:ascii="ArialMT" w:eastAsiaTheme="minorHAnsi" w:hAnsi="ArialMT" w:cs="ArialMT"/>
          <w:bCs/>
          <w:color w:val="auto"/>
          <w:lang w:eastAsia="en-US"/>
        </w:rPr>
        <w:t>The GDIP is a live document that is intended to evolve over t</w:t>
      </w:r>
      <w:r>
        <w:rPr>
          <w:rFonts w:ascii="ArialMT" w:eastAsiaTheme="minorHAnsi" w:hAnsi="ArialMT" w:cs="ArialMT"/>
          <w:bCs/>
          <w:color w:val="auto"/>
          <w:lang w:eastAsia="en-US"/>
        </w:rPr>
        <w:t>he life of the Growth Deal Programme, and is reviewed/updated on a quarterly basis to reflect projects' status.</w:t>
      </w:r>
    </w:p>
    <w:p w:rsidR="007B574D" w:rsidRDefault="006139A2" w:rsidP="005A3524">
      <w:pPr>
        <w:autoSpaceDE w:val="0"/>
        <w:autoSpaceDN w:val="0"/>
        <w:adjustRightInd w:val="0"/>
        <w:spacing w:after="0" w:line="240" w:lineRule="auto"/>
        <w:ind w:left="0" w:firstLine="0"/>
        <w:jc w:val="both"/>
        <w:rPr>
          <w:rFonts w:ascii="ArialMT" w:eastAsiaTheme="minorHAnsi" w:hAnsi="ArialMT" w:cs="ArialMT"/>
          <w:bCs/>
          <w:color w:val="auto"/>
          <w:lang w:eastAsia="en-US"/>
        </w:rPr>
      </w:pPr>
    </w:p>
    <w:p w:rsidR="007B574D" w:rsidRDefault="006139A2" w:rsidP="005A3524">
      <w:pPr>
        <w:autoSpaceDE w:val="0"/>
        <w:autoSpaceDN w:val="0"/>
        <w:adjustRightInd w:val="0"/>
        <w:spacing w:after="0" w:line="240" w:lineRule="auto"/>
        <w:ind w:left="0" w:firstLine="0"/>
        <w:jc w:val="both"/>
        <w:rPr>
          <w:rFonts w:ascii="ArialMT" w:eastAsiaTheme="minorHAnsi" w:hAnsi="ArialMT" w:cs="ArialMT"/>
          <w:bCs/>
          <w:color w:val="auto"/>
          <w:lang w:eastAsia="en-US"/>
        </w:rPr>
      </w:pPr>
      <w:r>
        <w:rPr>
          <w:rFonts w:ascii="ArialMT" w:eastAsiaTheme="minorHAnsi" w:hAnsi="ArialMT" w:cs="ArialMT"/>
          <w:bCs/>
          <w:color w:val="auto"/>
          <w:lang w:eastAsia="en-US"/>
        </w:rPr>
        <w:t>A refreshed version of the GDIP is attached at Appendix 'A'. The document has been amended to reflect the current status of each project</w:t>
      </w:r>
      <w:r>
        <w:rPr>
          <w:rFonts w:ascii="ArialMT" w:eastAsiaTheme="minorHAnsi" w:hAnsi="ArialMT" w:cs="ArialMT"/>
          <w:bCs/>
          <w:color w:val="auto"/>
          <w:lang w:eastAsia="en-US"/>
        </w:rPr>
        <w:t xml:space="preserve"> within the Growth Deal Programme. </w:t>
      </w:r>
    </w:p>
    <w:p w:rsidR="00BB0754" w:rsidRDefault="006139A2" w:rsidP="005A3524">
      <w:pPr>
        <w:autoSpaceDE w:val="0"/>
        <w:autoSpaceDN w:val="0"/>
        <w:adjustRightInd w:val="0"/>
        <w:spacing w:after="0" w:line="240" w:lineRule="auto"/>
        <w:ind w:left="0" w:firstLine="0"/>
        <w:jc w:val="both"/>
        <w:rPr>
          <w:rFonts w:ascii="ArialMT" w:eastAsiaTheme="minorHAnsi" w:hAnsi="ArialMT" w:cs="ArialMT"/>
          <w:bCs/>
          <w:color w:val="auto"/>
          <w:lang w:eastAsia="en-US"/>
        </w:rPr>
      </w:pPr>
    </w:p>
    <w:p w:rsidR="00BB0754" w:rsidRPr="00BB0754" w:rsidRDefault="006139A2" w:rsidP="00BB0754">
      <w:pPr>
        <w:rPr>
          <w:color w:val="auto"/>
          <w:u w:val="single"/>
        </w:rPr>
      </w:pPr>
      <w:r w:rsidRPr="00BB0754">
        <w:rPr>
          <w:color w:val="auto"/>
          <w:u w:val="single"/>
        </w:rPr>
        <w:t>Growth Deal Monitoring &amp; Evaluation Sub Group</w:t>
      </w:r>
      <w:r>
        <w:rPr>
          <w:color w:val="auto"/>
          <w:u w:val="single"/>
        </w:rPr>
        <w:t xml:space="preserve"> (M&amp;E SG)</w:t>
      </w:r>
      <w:r w:rsidRPr="00BB0754">
        <w:rPr>
          <w:color w:val="auto"/>
          <w:u w:val="single"/>
        </w:rPr>
        <w:t xml:space="preserve"> Terms of Reference</w:t>
      </w:r>
    </w:p>
    <w:p w:rsidR="00BB0754" w:rsidRDefault="006139A2" w:rsidP="005A3524">
      <w:pPr>
        <w:autoSpaceDE w:val="0"/>
        <w:autoSpaceDN w:val="0"/>
        <w:adjustRightInd w:val="0"/>
        <w:spacing w:after="0" w:line="240" w:lineRule="auto"/>
        <w:ind w:left="0" w:firstLine="0"/>
        <w:jc w:val="both"/>
        <w:rPr>
          <w:rFonts w:ascii="ArialMT" w:eastAsiaTheme="minorHAnsi" w:hAnsi="ArialMT" w:cs="ArialMT"/>
          <w:bCs/>
          <w:color w:val="auto"/>
          <w:lang w:eastAsia="en-US"/>
        </w:rPr>
      </w:pPr>
    </w:p>
    <w:p w:rsidR="007B574D" w:rsidRPr="007B574D" w:rsidRDefault="006139A2" w:rsidP="007B574D">
      <w:pPr>
        <w:autoSpaceDE w:val="0"/>
        <w:autoSpaceDN w:val="0"/>
        <w:adjustRightInd w:val="0"/>
        <w:spacing w:after="0" w:line="240" w:lineRule="auto"/>
        <w:ind w:left="0" w:firstLine="0"/>
        <w:jc w:val="both"/>
        <w:rPr>
          <w:rFonts w:ascii="ArialMT" w:eastAsiaTheme="minorHAnsi" w:hAnsi="ArialMT" w:cs="ArialMT"/>
          <w:bCs/>
          <w:color w:val="auto"/>
          <w:lang w:eastAsia="en-US"/>
        </w:rPr>
      </w:pPr>
      <w:r w:rsidRPr="007B574D">
        <w:rPr>
          <w:rStyle w:val="CharAttribute12"/>
        </w:rPr>
        <w:t xml:space="preserve">The </w:t>
      </w:r>
      <w:r>
        <w:rPr>
          <w:rStyle w:val="CharAttribute12"/>
        </w:rPr>
        <w:t xml:space="preserve">primary responsibility of the </w:t>
      </w:r>
      <w:r w:rsidRPr="007B574D">
        <w:rPr>
          <w:rStyle w:val="CharAttribute12"/>
        </w:rPr>
        <w:t>M&amp;E SG is to ensure the implementation of the Growth Deal Monitoring &amp;</w:t>
      </w:r>
      <w:r w:rsidRPr="007B574D">
        <w:rPr>
          <w:rStyle w:val="CharAttribute12"/>
        </w:rPr>
        <w:t xml:space="preserve"> Evaluation Framework, and to provide progress updates to the GDMB in respect of programme and project activity, whilst </w:t>
      </w:r>
      <w:r>
        <w:rPr>
          <w:rStyle w:val="CharAttribute12"/>
        </w:rPr>
        <w:t xml:space="preserve">also </w:t>
      </w:r>
      <w:r w:rsidRPr="007B574D">
        <w:rPr>
          <w:rStyle w:val="CharAttribute12"/>
        </w:rPr>
        <w:t xml:space="preserve">supporting the GDMB in the implementation of the Growth Deal programme.   </w:t>
      </w:r>
    </w:p>
    <w:p w:rsidR="007B574D" w:rsidRDefault="006139A2" w:rsidP="005A3524">
      <w:pPr>
        <w:autoSpaceDE w:val="0"/>
        <w:autoSpaceDN w:val="0"/>
        <w:adjustRightInd w:val="0"/>
        <w:spacing w:after="0" w:line="240" w:lineRule="auto"/>
        <w:ind w:left="0" w:firstLine="0"/>
        <w:jc w:val="both"/>
        <w:rPr>
          <w:rFonts w:ascii="ArialMT" w:eastAsiaTheme="minorHAnsi" w:hAnsi="ArialMT" w:cs="ArialMT"/>
          <w:bCs/>
          <w:color w:val="auto"/>
          <w:lang w:eastAsia="en-US"/>
        </w:rPr>
      </w:pPr>
    </w:p>
    <w:p w:rsidR="00230534" w:rsidRPr="00230534" w:rsidRDefault="006139A2" w:rsidP="00230534">
      <w:pPr>
        <w:autoSpaceDE w:val="0"/>
        <w:autoSpaceDN w:val="0"/>
        <w:adjustRightInd w:val="0"/>
        <w:spacing w:after="0" w:line="240" w:lineRule="auto"/>
        <w:ind w:left="0" w:firstLine="0"/>
        <w:jc w:val="both"/>
        <w:rPr>
          <w:color w:val="auto"/>
          <w:lang w:eastAsia="en-US"/>
        </w:rPr>
      </w:pPr>
      <w:r>
        <w:rPr>
          <w:rFonts w:ascii="ArialMT" w:eastAsiaTheme="minorHAnsi" w:hAnsi="ArialMT" w:cs="ArialMT"/>
          <w:bCs/>
          <w:color w:val="auto"/>
          <w:lang w:eastAsia="en-US"/>
        </w:rPr>
        <w:t>At the GDMB meeting held on the 8</w:t>
      </w:r>
      <w:r w:rsidRPr="00230534">
        <w:rPr>
          <w:rFonts w:ascii="ArialMT" w:eastAsiaTheme="minorHAnsi" w:hAnsi="ArialMT" w:cs="ArialMT"/>
          <w:bCs/>
          <w:color w:val="auto"/>
          <w:vertAlign w:val="superscript"/>
          <w:lang w:eastAsia="en-US"/>
        </w:rPr>
        <w:t>th</w:t>
      </w:r>
      <w:r>
        <w:rPr>
          <w:rFonts w:ascii="ArialMT" w:eastAsiaTheme="minorHAnsi" w:hAnsi="ArialMT" w:cs="ArialMT"/>
          <w:bCs/>
          <w:color w:val="auto"/>
          <w:lang w:eastAsia="en-US"/>
        </w:rPr>
        <w:t xml:space="preserve"> March 2017, it was </w:t>
      </w:r>
      <w:r>
        <w:rPr>
          <w:rFonts w:ascii="ArialMT" w:eastAsiaTheme="minorHAnsi" w:hAnsi="ArialMT" w:cs="ArialMT"/>
          <w:bCs/>
          <w:color w:val="auto"/>
          <w:lang w:eastAsia="en-US"/>
        </w:rPr>
        <w:t xml:space="preserve">advised that a review of the </w:t>
      </w:r>
    </w:p>
    <w:p w:rsidR="00230534" w:rsidRPr="00230534" w:rsidRDefault="006139A2" w:rsidP="00230534">
      <w:pPr>
        <w:spacing w:after="0" w:line="240" w:lineRule="auto"/>
        <w:ind w:left="0" w:firstLine="0"/>
        <w:jc w:val="both"/>
        <w:rPr>
          <w:color w:val="auto"/>
          <w:lang w:eastAsia="en-US"/>
        </w:rPr>
      </w:pPr>
      <w:r w:rsidRPr="00230534">
        <w:rPr>
          <w:color w:val="auto"/>
          <w:lang w:eastAsia="en-US"/>
        </w:rPr>
        <w:t xml:space="preserve">M&amp;E SG </w:t>
      </w:r>
      <w:r>
        <w:rPr>
          <w:color w:val="auto"/>
          <w:lang w:eastAsia="en-US"/>
        </w:rPr>
        <w:t xml:space="preserve">had </w:t>
      </w:r>
      <w:r w:rsidRPr="00230534">
        <w:rPr>
          <w:color w:val="auto"/>
          <w:lang w:eastAsia="en-US"/>
        </w:rPr>
        <w:t xml:space="preserve">taken place to establish if the ToRs in relation to the objectives and membership </w:t>
      </w:r>
      <w:r>
        <w:rPr>
          <w:color w:val="auto"/>
          <w:lang w:eastAsia="en-US"/>
        </w:rPr>
        <w:t>were</w:t>
      </w:r>
      <w:r w:rsidRPr="00230534">
        <w:rPr>
          <w:color w:val="auto"/>
          <w:lang w:eastAsia="en-US"/>
        </w:rPr>
        <w:t xml:space="preserve"> still appropriate. Following the review, </w:t>
      </w:r>
      <w:r>
        <w:rPr>
          <w:color w:val="auto"/>
          <w:lang w:eastAsia="en-US"/>
        </w:rPr>
        <w:t>m</w:t>
      </w:r>
      <w:r w:rsidRPr="00230534">
        <w:rPr>
          <w:color w:val="auto"/>
          <w:lang w:eastAsia="en-US"/>
        </w:rPr>
        <w:t xml:space="preserve">embers </w:t>
      </w:r>
      <w:r>
        <w:rPr>
          <w:color w:val="auto"/>
          <w:lang w:eastAsia="en-US"/>
        </w:rPr>
        <w:t xml:space="preserve">of the group </w:t>
      </w:r>
      <w:r w:rsidRPr="00230534">
        <w:rPr>
          <w:color w:val="auto"/>
          <w:lang w:eastAsia="en-US"/>
        </w:rPr>
        <w:t xml:space="preserve">agreed that the original objectives of </w:t>
      </w:r>
      <w:r>
        <w:rPr>
          <w:color w:val="auto"/>
          <w:lang w:eastAsia="en-US"/>
        </w:rPr>
        <w:t xml:space="preserve">the </w:t>
      </w:r>
      <w:r w:rsidRPr="00230534">
        <w:rPr>
          <w:color w:val="auto"/>
          <w:lang w:eastAsia="en-US"/>
        </w:rPr>
        <w:t>group ha</w:t>
      </w:r>
      <w:r>
        <w:rPr>
          <w:color w:val="auto"/>
          <w:lang w:eastAsia="en-US"/>
        </w:rPr>
        <w:t>d</w:t>
      </w:r>
      <w:r w:rsidRPr="00230534">
        <w:rPr>
          <w:color w:val="auto"/>
          <w:lang w:eastAsia="en-US"/>
        </w:rPr>
        <w:t xml:space="preserve"> largely been met</w:t>
      </w:r>
      <w:r>
        <w:rPr>
          <w:color w:val="auto"/>
          <w:lang w:eastAsia="en-US"/>
        </w:rPr>
        <w:t xml:space="preserve"> </w:t>
      </w:r>
      <w:r w:rsidRPr="00230534">
        <w:rPr>
          <w:color w:val="auto"/>
          <w:lang w:eastAsia="en-US"/>
        </w:rPr>
        <w:t>and that</w:t>
      </w:r>
      <w:r>
        <w:rPr>
          <w:color w:val="auto"/>
          <w:lang w:eastAsia="en-US"/>
        </w:rPr>
        <w:t xml:space="preserve"> its</w:t>
      </w:r>
      <w:r w:rsidRPr="00230534">
        <w:rPr>
          <w:color w:val="auto"/>
          <w:lang w:eastAsia="en-US"/>
        </w:rPr>
        <w:t xml:space="preserve"> remit should be wider than M&amp;E. It was concluded to disband the existing group, replacing it with a group who would not only support the monitoring of the projects, but also support the technical requirements to bring project</w:t>
      </w:r>
      <w:r w:rsidRPr="00230534">
        <w:rPr>
          <w:color w:val="auto"/>
          <w:lang w:eastAsia="en-US"/>
        </w:rPr>
        <w:t xml:space="preserve">s forward and complete contracting.  </w:t>
      </w:r>
    </w:p>
    <w:p w:rsidR="00230534" w:rsidRDefault="006139A2" w:rsidP="00230534">
      <w:pPr>
        <w:spacing w:after="0" w:line="240" w:lineRule="auto"/>
        <w:ind w:left="0" w:firstLine="0"/>
        <w:jc w:val="both"/>
        <w:rPr>
          <w:color w:val="auto"/>
          <w:lang w:eastAsia="en-US"/>
        </w:rPr>
      </w:pPr>
    </w:p>
    <w:p w:rsidR="007B574D" w:rsidRDefault="006139A2" w:rsidP="00230534">
      <w:pPr>
        <w:spacing w:after="0" w:line="240" w:lineRule="auto"/>
        <w:ind w:left="0" w:firstLine="0"/>
        <w:jc w:val="both"/>
        <w:rPr>
          <w:color w:val="auto"/>
          <w:lang w:eastAsia="en-US"/>
        </w:rPr>
      </w:pPr>
      <w:r>
        <w:rPr>
          <w:color w:val="auto"/>
          <w:lang w:eastAsia="en-US"/>
        </w:rPr>
        <w:t>A refreshed version of the M&amp;E SG ToRs is attached at Appendix 'B'. This document has been amended to reflect the operational requirements and revised membership of the M&amp;E SG.</w:t>
      </w:r>
    </w:p>
    <w:p w:rsidR="007B574D" w:rsidRDefault="006139A2" w:rsidP="00230534">
      <w:pPr>
        <w:spacing w:after="0" w:line="240" w:lineRule="auto"/>
        <w:ind w:left="0" w:firstLine="0"/>
        <w:jc w:val="both"/>
        <w:rPr>
          <w:color w:val="auto"/>
          <w:lang w:eastAsia="en-US"/>
        </w:rPr>
      </w:pPr>
    </w:p>
    <w:p w:rsidR="00E83445" w:rsidRDefault="006139A2" w:rsidP="00230534">
      <w:pPr>
        <w:spacing w:after="0" w:line="240" w:lineRule="auto"/>
        <w:ind w:left="0" w:firstLine="0"/>
        <w:jc w:val="both"/>
        <w:rPr>
          <w:color w:val="auto"/>
          <w:lang w:eastAsia="en-US"/>
        </w:rPr>
      </w:pPr>
      <w:r w:rsidRPr="007B574D">
        <w:rPr>
          <w:color w:val="auto"/>
          <w:u w:val="single"/>
        </w:rPr>
        <w:t>Growth Deal Monitoring and Evaluation F</w:t>
      </w:r>
      <w:r w:rsidRPr="007B574D">
        <w:rPr>
          <w:color w:val="auto"/>
          <w:u w:val="single"/>
        </w:rPr>
        <w:t>ramework</w:t>
      </w:r>
    </w:p>
    <w:p w:rsidR="00E83445" w:rsidRDefault="006139A2" w:rsidP="00230534">
      <w:pPr>
        <w:spacing w:after="0" w:line="240" w:lineRule="auto"/>
        <w:ind w:left="0" w:firstLine="0"/>
        <w:jc w:val="both"/>
        <w:rPr>
          <w:color w:val="auto"/>
          <w:lang w:eastAsia="en-US"/>
        </w:rPr>
      </w:pPr>
    </w:p>
    <w:p w:rsidR="001F0B37" w:rsidRDefault="006139A2" w:rsidP="00230534">
      <w:pPr>
        <w:spacing w:after="0" w:line="240" w:lineRule="auto"/>
        <w:ind w:left="0" w:firstLine="0"/>
        <w:jc w:val="both"/>
      </w:pPr>
      <w:r>
        <w:rPr>
          <w:color w:val="auto"/>
          <w:lang w:eastAsia="en-US"/>
        </w:rPr>
        <w:t>The Monitoring and Evaluation Framework provides the transparent mechanisms required by Government and the Lancashire Enterprise Partnership in order to understand what has been spent and what has been delivered through the Growth Deal Programme,</w:t>
      </w:r>
      <w:r>
        <w:rPr>
          <w:color w:val="auto"/>
          <w:lang w:eastAsia="en-US"/>
        </w:rPr>
        <w:t xml:space="preserve"> </w:t>
      </w:r>
      <w:r w:rsidRPr="009254D4">
        <w:t>provid</w:t>
      </w:r>
      <w:r>
        <w:t>ing</w:t>
      </w:r>
      <w:r w:rsidRPr="009254D4">
        <w:t xml:space="preserve"> information for reporting back to Ministers and the public, and for influencing future policy.  </w:t>
      </w:r>
      <w:r>
        <w:t>It is in this requirement for transparency that the LE</w:t>
      </w:r>
      <w:r w:rsidRPr="00F15743">
        <w:t xml:space="preserve">P agreed the need for a </w:t>
      </w:r>
      <w:r>
        <w:t>M&amp;E</w:t>
      </w:r>
      <w:r w:rsidRPr="00F15743">
        <w:t xml:space="preserve"> Framework. </w:t>
      </w:r>
      <w:r w:rsidRPr="00393F80">
        <w:t>The LEP and its Performance Committee will use the monit</w:t>
      </w:r>
      <w:r w:rsidRPr="00393F80">
        <w:t xml:space="preserve">oring process to manage performance to ensure that the planned delivery </w:t>
      </w:r>
      <w:r>
        <w:t xml:space="preserve">of the Growth Deal Programme </w:t>
      </w:r>
      <w:r w:rsidRPr="00393F80">
        <w:t>is achieved</w:t>
      </w:r>
      <w:r>
        <w:t>.</w:t>
      </w:r>
    </w:p>
    <w:p w:rsidR="00E83445" w:rsidRDefault="006139A2" w:rsidP="00230534">
      <w:pPr>
        <w:spacing w:after="0" w:line="240" w:lineRule="auto"/>
        <w:ind w:left="0" w:firstLine="0"/>
        <w:jc w:val="both"/>
        <w:rPr>
          <w:color w:val="auto"/>
          <w:lang w:eastAsia="en-US"/>
        </w:rPr>
      </w:pPr>
    </w:p>
    <w:p w:rsidR="00E83445" w:rsidRDefault="006139A2" w:rsidP="00230534">
      <w:pPr>
        <w:spacing w:after="0" w:line="240" w:lineRule="auto"/>
        <w:ind w:left="0" w:firstLine="0"/>
        <w:jc w:val="both"/>
      </w:pPr>
      <w:r>
        <w:t xml:space="preserve">The </w:t>
      </w:r>
      <w:r w:rsidRPr="009254D4">
        <w:t xml:space="preserve">LEP and Government recognise that this </w:t>
      </w:r>
      <w:r>
        <w:t>M&amp;E</w:t>
      </w:r>
      <w:r w:rsidRPr="009254D4">
        <w:t xml:space="preserve"> Framework needs to be a "living" document </w:t>
      </w:r>
      <w:r>
        <w:t xml:space="preserve">which is </w:t>
      </w:r>
      <w:r w:rsidRPr="009254D4">
        <w:t xml:space="preserve">revised periodically </w:t>
      </w:r>
      <w:r>
        <w:t xml:space="preserve">and </w:t>
      </w:r>
      <w:r w:rsidRPr="009254D4">
        <w:t>with flexibility b</w:t>
      </w:r>
      <w:r w:rsidRPr="009254D4">
        <w:t xml:space="preserve">uilt-in to ensure it remains fit-for-purpose throughout the Growth Deal period.  The progress and success of the monitoring and evaluation framework </w:t>
      </w:r>
      <w:r>
        <w:t>is</w:t>
      </w:r>
      <w:r w:rsidRPr="009254D4">
        <w:t xml:space="preserve"> reviewed annually by the </w:t>
      </w:r>
      <w:r>
        <w:t>GDMB</w:t>
      </w:r>
      <w:r w:rsidRPr="009254D4">
        <w:t xml:space="preserve"> an</w:t>
      </w:r>
      <w:r>
        <w:t>d periodically by the LEP</w:t>
      </w:r>
      <w:r w:rsidRPr="009254D4">
        <w:t xml:space="preserve"> Performance Committee</w:t>
      </w:r>
      <w:r>
        <w:t>.</w:t>
      </w:r>
    </w:p>
    <w:p w:rsidR="00E83445" w:rsidRDefault="006139A2" w:rsidP="00230534">
      <w:pPr>
        <w:spacing w:after="0" w:line="240" w:lineRule="auto"/>
        <w:ind w:left="0" w:firstLine="0"/>
        <w:jc w:val="both"/>
      </w:pPr>
    </w:p>
    <w:p w:rsidR="00230534" w:rsidRPr="005A3524" w:rsidRDefault="006139A2" w:rsidP="005A3524">
      <w:pPr>
        <w:autoSpaceDE w:val="0"/>
        <w:autoSpaceDN w:val="0"/>
        <w:adjustRightInd w:val="0"/>
        <w:spacing w:after="0" w:line="240" w:lineRule="auto"/>
        <w:ind w:left="0" w:firstLine="0"/>
        <w:jc w:val="both"/>
        <w:rPr>
          <w:rFonts w:ascii="ArialMT" w:eastAsiaTheme="minorHAnsi" w:hAnsi="ArialMT" w:cs="ArialMT"/>
          <w:bCs/>
          <w:color w:val="auto"/>
          <w:lang w:eastAsia="en-US"/>
        </w:rPr>
      </w:pPr>
      <w:r>
        <w:rPr>
          <w:rFonts w:ascii="ArialMT" w:eastAsiaTheme="minorHAnsi" w:hAnsi="ArialMT" w:cs="ArialMT"/>
          <w:bCs/>
          <w:color w:val="auto"/>
          <w:lang w:eastAsia="en-US"/>
        </w:rPr>
        <w:t>In accordance with the</w:t>
      </w:r>
      <w:r>
        <w:rPr>
          <w:rFonts w:ascii="ArialMT" w:eastAsiaTheme="minorHAnsi" w:hAnsi="ArialMT" w:cs="ArialMT"/>
          <w:bCs/>
          <w:color w:val="auto"/>
          <w:lang w:eastAsia="en-US"/>
        </w:rPr>
        <w:t xml:space="preserve"> annual review, an updated version of the M&amp;E Framework is attached at Appendix 'C'. The document has been updated to reflect; GD3 award, M&amp;E Sub GP revised ToRs, new claims and monitoring guidance and project delivery status. </w:t>
      </w:r>
      <w:r w:rsidRPr="009254D4">
        <w:t xml:space="preserve"> </w:t>
      </w:r>
    </w:p>
    <w:sectPr w:rsidR="00230534" w:rsidRPr="005A352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139A2">
      <w:pPr>
        <w:spacing w:after="0" w:line="240" w:lineRule="auto"/>
      </w:pPr>
      <w:r>
        <w:separator/>
      </w:r>
    </w:p>
  </w:endnote>
  <w:endnote w:type="continuationSeparator" w:id="0">
    <w:p w:rsidR="00000000" w:rsidRDefault="00613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139A2">
      <w:pPr>
        <w:spacing w:after="0" w:line="240" w:lineRule="auto"/>
      </w:pPr>
      <w:r>
        <w:separator/>
      </w:r>
    </w:p>
  </w:footnote>
  <w:footnote w:type="continuationSeparator" w:id="0">
    <w:p w:rsidR="00000000" w:rsidRDefault="00613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6139A2">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071459"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7286DD2"/>
    <w:multiLevelType w:val="hybridMultilevel"/>
    <w:tmpl w:val="7A4070E4"/>
    <w:lvl w:ilvl="0" w:tplc="2932B67A">
      <w:start w:val="1"/>
      <w:numFmt w:val="bullet"/>
      <w:lvlText w:val=""/>
      <w:lvlJc w:val="left"/>
      <w:pPr>
        <w:ind w:left="720" w:hanging="360"/>
      </w:pPr>
      <w:rPr>
        <w:rFonts w:ascii="Symbol" w:hAnsi="Symbol" w:hint="default"/>
      </w:rPr>
    </w:lvl>
    <w:lvl w:ilvl="1" w:tplc="EB083902" w:tentative="1">
      <w:start w:val="1"/>
      <w:numFmt w:val="bullet"/>
      <w:lvlText w:val="o"/>
      <w:lvlJc w:val="left"/>
      <w:pPr>
        <w:ind w:left="1440" w:hanging="360"/>
      </w:pPr>
      <w:rPr>
        <w:rFonts w:ascii="Courier New" w:hAnsi="Courier New" w:cs="Courier New" w:hint="default"/>
      </w:rPr>
    </w:lvl>
    <w:lvl w:ilvl="2" w:tplc="5322C818" w:tentative="1">
      <w:start w:val="1"/>
      <w:numFmt w:val="bullet"/>
      <w:lvlText w:val=""/>
      <w:lvlJc w:val="left"/>
      <w:pPr>
        <w:ind w:left="2160" w:hanging="360"/>
      </w:pPr>
      <w:rPr>
        <w:rFonts w:ascii="Wingdings" w:hAnsi="Wingdings" w:hint="default"/>
      </w:rPr>
    </w:lvl>
    <w:lvl w:ilvl="3" w:tplc="E23A608A" w:tentative="1">
      <w:start w:val="1"/>
      <w:numFmt w:val="bullet"/>
      <w:lvlText w:val=""/>
      <w:lvlJc w:val="left"/>
      <w:pPr>
        <w:ind w:left="2880" w:hanging="360"/>
      </w:pPr>
      <w:rPr>
        <w:rFonts w:ascii="Symbol" w:hAnsi="Symbol" w:hint="default"/>
      </w:rPr>
    </w:lvl>
    <w:lvl w:ilvl="4" w:tplc="22E4EB88" w:tentative="1">
      <w:start w:val="1"/>
      <w:numFmt w:val="bullet"/>
      <w:lvlText w:val="o"/>
      <w:lvlJc w:val="left"/>
      <w:pPr>
        <w:ind w:left="3600" w:hanging="360"/>
      </w:pPr>
      <w:rPr>
        <w:rFonts w:ascii="Courier New" w:hAnsi="Courier New" w:cs="Courier New" w:hint="default"/>
      </w:rPr>
    </w:lvl>
    <w:lvl w:ilvl="5" w:tplc="8536F3EC" w:tentative="1">
      <w:start w:val="1"/>
      <w:numFmt w:val="bullet"/>
      <w:lvlText w:val=""/>
      <w:lvlJc w:val="left"/>
      <w:pPr>
        <w:ind w:left="4320" w:hanging="360"/>
      </w:pPr>
      <w:rPr>
        <w:rFonts w:ascii="Wingdings" w:hAnsi="Wingdings" w:hint="default"/>
      </w:rPr>
    </w:lvl>
    <w:lvl w:ilvl="6" w:tplc="6DD0625A" w:tentative="1">
      <w:start w:val="1"/>
      <w:numFmt w:val="bullet"/>
      <w:lvlText w:val=""/>
      <w:lvlJc w:val="left"/>
      <w:pPr>
        <w:ind w:left="5040" w:hanging="360"/>
      </w:pPr>
      <w:rPr>
        <w:rFonts w:ascii="Symbol" w:hAnsi="Symbol" w:hint="default"/>
      </w:rPr>
    </w:lvl>
    <w:lvl w:ilvl="7" w:tplc="73921DE0" w:tentative="1">
      <w:start w:val="1"/>
      <w:numFmt w:val="bullet"/>
      <w:lvlText w:val="o"/>
      <w:lvlJc w:val="left"/>
      <w:pPr>
        <w:ind w:left="5760" w:hanging="360"/>
      </w:pPr>
      <w:rPr>
        <w:rFonts w:ascii="Courier New" w:hAnsi="Courier New" w:cs="Courier New" w:hint="default"/>
      </w:rPr>
    </w:lvl>
    <w:lvl w:ilvl="8" w:tplc="5F00FB8E" w:tentative="1">
      <w:start w:val="1"/>
      <w:numFmt w:val="bullet"/>
      <w:lvlText w:val=""/>
      <w:lvlJc w:val="left"/>
      <w:pPr>
        <w:ind w:left="6480" w:hanging="360"/>
      </w:pPr>
      <w:rPr>
        <w:rFonts w:ascii="Wingdings" w:hAnsi="Wingdings" w:hint="default"/>
      </w:rPr>
    </w:lvl>
  </w:abstractNum>
  <w:abstractNum w:abstractNumId="2" w15:restartNumberingAfterBreak="0">
    <w:nsid w:val="2D2473D4"/>
    <w:multiLevelType w:val="hybridMultilevel"/>
    <w:tmpl w:val="0BBA2C0C"/>
    <w:lvl w:ilvl="0" w:tplc="E95E766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09A2F04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2B6419E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313083F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F690BD5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9D94CD6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0950AD7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7AF6B1E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3B28E6BA">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3597741"/>
    <w:multiLevelType w:val="hybridMultilevel"/>
    <w:tmpl w:val="9B00C1EE"/>
    <w:lvl w:ilvl="0" w:tplc="52BC5546">
      <w:start w:val="1"/>
      <w:numFmt w:val="bullet"/>
      <w:lvlText w:val=""/>
      <w:lvlJc w:val="left"/>
      <w:pPr>
        <w:ind w:left="720" w:hanging="360"/>
      </w:pPr>
      <w:rPr>
        <w:rFonts w:ascii="Symbol" w:hAnsi="Symbol" w:hint="default"/>
      </w:rPr>
    </w:lvl>
    <w:lvl w:ilvl="1" w:tplc="B074C7B2" w:tentative="1">
      <w:start w:val="1"/>
      <w:numFmt w:val="bullet"/>
      <w:lvlText w:val="o"/>
      <w:lvlJc w:val="left"/>
      <w:pPr>
        <w:ind w:left="1440" w:hanging="360"/>
      </w:pPr>
      <w:rPr>
        <w:rFonts w:ascii="Courier New" w:hAnsi="Courier New" w:cs="Courier New" w:hint="default"/>
      </w:rPr>
    </w:lvl>
    <w:lvl w:ilvl="2" w:tplc="95927132" w:tentative="1">
      <w:start w:val="1"/>
      <w:numFmt w:val="bullet"/>
      <w:lvlText w:val=""/>
      <w:lvlJc w:val="left"/>
      <w:pPr>
        <w:ind w:left="2160" w:hanging="360"/>
      </w:pPr>
      <w:rPr>
        <w:rFonts w:ascii="Wingdings" w:hAnsi="Wingdings" w:hint="default"/>
      </w:rPr>
    </w:lvl>
    <w:lvl w:ilvl="3" w:tplc="F37A2858" w:tentative="1">
      <w:start w:val="1"/>
      <w:numFmt w:val="bullet"/>
      <w:lvlText w:val=""/>
      <w:lvlJc w:val="left"/>
      <w:pPr>
        <w:ind w:left="2880" w:hanging="360"/>
      </w:pPr>
      <w:rPr>
        <w:rFonts w:ascii="Symbol" w:hAnsi="Symbol" w:hint="default"/>
      </w:rPr>
    </w:lvl>
    <w:lvl w:ilvl="4" w:tplc="2ABA66B4" w:tentative="1">
      <w:start w:val="1"/>
      <w:numFmt w:val="bullet"/>
      <w:lvlText w:val="o"/>
      <w:lvlJc w:val="left"/>
      <w:pPr>
        <w:ind w:left="3600" w:hanging="360"/>
      </w:pPr>
      <w:rPr>
        <w:rFonts w:ascii="Courier New" w:hAnsi="Courier New" w:cs="Courier New" w:hint="default"/>
      </w:rPr>
    </w:lvl>
    <w:lvl w:ilvl="5" w:tplc="6F20B8F0" w:tentative="1">
      <w:start w:val="1"/>
      <w:numFmt w:val="bullet"/>
      <w:lvlText w:val=""/>
      <w:lvlJc w:val="left"/>
      <w:pPr>
        <w:ind w:left="4320" w:hanging="360"/>
      </w:pPr>
      <w:rPr>
        <w:rFonts w:ascii="Wingdings" w:hAnsi="Wingdings" w:hint="default"/>
      </w:rPr>
    </w:lvl>
    <w:lvl w:ilvl="6" w:tplc="4748245A" w:tentative="1">
      <w:start w:val="1"/>
      <w:numFmt w:val="bullet"/>
      <w:lvlText w:val=""/>
      <w:lvlJc w:val="left"/>
      <w:pPr>
        <w:ind w:left="5040" w:hanging="360"/>
      </w:pPr>
      <w:rPr>
        <w:rFonts w:ascii="Symbol" w:hAnsi="Symbol" w:hint="default"/>
      </w:rPr>
    </w:lvl>
    <w:lvl w:ilvl="7" w:tplc="F6D4C508" w:tentative="1">
      <w:start w:val="1"/>
      <w:numFmt w:val="bullet"/>
      <w:lvlText w:val="o"/>
      <w:lvlJc w:val="left"/>
      <w:pPr>
        <w:ind w:left="5760" w:hanging="360"/>
      </w:pPr>
      <w:rPr>
        <w:rFonts w:ascii="Courier New" w:hAnsi="Courier New" w:cs="Courier New" w:hint="default"/>
      </w:rPr>
    </w:lvl>
    <w:lvl w:ilvl="8" w:tplc="47F4BCC8" w:tentative="1">
      <w:start w:val="1"/>
      <w:numFmt w:val="bullet"/>
      <w:lvlText w:val=""/>
      <w:lvlJc w:val="left"/>
      <w:pPr>
        <w:ind w:left="6480" w:hanging="360"/>
      </w:pPr>
      <w:rPr>
        <w:rFonts w:ascii="Wingdings" w:hAnsi="Wingdings" w:hint="default"/>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4E031ABC"/>
    <w:multiLevelType w:val="hybridMultilevel"/>
    <w:tmpl w:val="8B42FCC8"/>
    <w:lvl w:ilvl="0" w:tplc="21D69450">
      <w:start w:val="1"/>
      <w:numFmt w:val="bullet"/>
      <w:lvlText w:val=""/>
      <w:lvlJc w:val="left"/>
      <w:pPr>
        <w:ind w:left="780" w:hanging="360"/>
      </w:pPr>
      <w:rPr>
        <w:rFonts w:ascii="Symbol" w:hAnsi="Symbol" w:hint="default"/>
      </w:rPr>
    </w:lvl>
    <w:lvl w:ilvl="1" w:tplc="6360DB18" w:tentative="1">
      <w:start w:val="1"/>
      <w:numFmt w:val="bullet"/>
      <w:lvlText w:val="o"/>
      <w:lvlJc w:val="left"/>
      <w:pPr>
        <w:ind w:left="1500" w:hanging="360"/>
      </w:pPr>
      <w:rPr>
        <w:rFonts w:ascii="Courier New" w:hAnsi="Courier New" w:cs="Courier New" w:hint="default"/>
      </w:rPr>
    </w:lvl>
    <w:lvl w:ilvl="2" w:tplc="A3C66362" w:tentative="1">
      <w:start w:val="1"/>
      <w:numFmt w:val="bullet"/>
      <w:lvlText w:val=""/>
      <w:lvlJc w:val="left"/>
      <w:pPr>
        <w:ind w:left="2220" w:hanging="360"/>
      </w:pPr>
      <w:rPr>
        <w:rFonts w:ascii="Wingdings" w:hAnsi="Wingdings" w:hint="default"/>
      </w:rPr>
    </w:lvl>
    <w:lvl w:ilvl="3" w:tplc="2018AC24" w:tentative="1">
      <w:start w:val="1"/>
      <w:numFmt w:val="bullet"/>
      <w:lvlText w:val=""/>
      <w:lvlJc w:val="left"/>
      <w:pPr>
        <w:ind w:left="2940" w:hanging="360"/>
      </w:pPr>
      <w:rPr>
        <w:rFonts w:ascii="Symbol" w:hAnsi="Symbol" w:hint="default"/>
      </w:rPr>
    </w:lvl>
    <w:lvl w:ilvl="4" w:tplc="8454EC5C" w:tentative="1">
      <w:start w:val="1"/>
      <w:numFmt w:val="bullet"/>
      <w:lvlText w:val="o"/>
      <w:lvlJc w:val="left"/>
      <w:pPr>
        <w:ind w:left="3660" w:hanging="360"/>
      </w:pPr>
      <w:rPr>
        <w:rFonts w:ascii="Courier New" w:hAnsi="Courier New" w:cs="Courier New" w:hint="default"/>
      </w:rPr>
    </w:lvl>
    <w:lvl w:ilvl="5" w:tplc="11B228D2" w:tentative="1">
      <w:start w:val="1"/>
      <w:numFmt w:val="bullet"/>
      <w:lvlText w:val=""/>
      <w:lvlJc w:val="left"/>
      <w:pPr>
        <w:ind w:left="4380" w:hanging="360"/>
      </w:pPr>
      <w:rPr>
        <w:rFonts w:ascii="Wingdings" w:hAnsi="Wingdings" w:hint="default"/>
      </w:rPr>
    </w:lvl>
    <w:lvl w:ilvl="6" w:tplc="58A4EDD0" w:tentative="1">
      <w:start w:val="1"/>
      <w:numFmt w:val="bullet"/>
      <w:lvlText w:val=""/>
      <w:lvlJc w:val="left"/>
      <w:pPr>
        <w:ind w:left="5100" w:hanging="360"/>
      </w:pPr>
      <w:rPr>
        <w:rFonts w:ascii="Symbol" w:hAnsi="Symbol" w:hint="default"/>
      </w:rPr>
    </w:lvl>
    <w:lvl w:ilvl="7" w:tplc="EC506E68" w:tentative="1">
      <w:start w:val="1"/>
      <w:numFmt w:val="bullet"/>
      <w:lvlText w:val="o"/>
      <w:lvlJc w:val="left"/>
      <w:pPr>
        <w:ind w:left="5820" w:hanging="360"/>
      </w:pPr>
      <w:rPr>
        <w:rFonts w:ascii="Courier New" w:hAnsi="Courier New" w:cs="Courier New" w:hint="default"/>
      </w:rPr>
    </w:lvl>
    <w:lvl w:ilvl="8" w:tplc="14161122" w:tentative="1">
      <w:start w:val="1"/>
      <w:numFmt w:val="bullet"/>
      <w:lvlText w:val=""/>
      <w:lvlJc w:val="left"/>
      <w:pPr>
        <w:ind w:left="6540" w:hanging="360"/>
      </w:pPr>
      <w:rPr>
        <w:rFonts w:ascii="Wingdings" w:hAnsi="Wingdings" w:hint="default"/>
      </w:rPr>
    </w:lvl>
  </w:abstractNum>
  <w:abstractNum w:abstractNumId="6" w15:restartNumberingAfterBreak="0">
    <w:nsid w:val="60653C3A"/>
    <w:multiLevelType w:val="hybridMultilevel"/>
    <w:tmpl w:val="66147BB2"/>
    <w:lvl w:ilvl="0" w:tplc="389AC70C">
      <w:start w:val="1"/>
      <w:numFmt w:val="bullet"/>
      <w:lvlText w:val=""/>
      <w:lvlJc w:val="left"/>
      <w:pPr>
        <w:ind w:left="720" w:hanging="360"/>
      </w:pPr>
      <w:rPr>
        <w:rFonts w:ascii="Symbol" w:hAnsi="Symbol" w:hint="default"/>
      </w:rPr>
    </w:lvl>
    <w:lvl w:ilvl="1" w:tplc="D5C6AB2C" w:tentative="1">
      <w:start w:val="1"/>
      <w:numFmt w:val="bullet"/>
      <w:lvlText w:val="o"/>
      <w:lvlJc w:val="left"/>
      <w:pPr>
        <w:ind w:left="1440" w:hanging="360"/>
      </w:pPr>
      <w:rPr>
        <w:rFonts w:ascii="Courier New" w:hAnsi="Courier New" w:cs="Courier New" w:hint="default"/>
      </w:rPr>
    </w:lvl>
    <w:lvl w:ilvl="2" w:tplc="54F22EA4" w:tentative="1">
      <w:start w:val="1"/>
      <w:numFmt w:val="bullet"/>
      <w:lvlText w:val=""/>
      <w:lvlJc w:val="left"/>
      <w:pPr>
        <w:ind w:left="2160" w:hanging="360"/>
      </w:pPr>
      <w:rPr>
        <w:rFonts w:ascii="Wingdings" w:hAnsi="Wingdings" w:hint="default"/>
      </w:rPr>
    </w:lvl>
    <w:lvl w:ilvl="3" w:tplc="D6EA8608" w:tentative="1">
      <w:start w:val="1"/>
      <w:numFmt w:val="bullet"/>
      <w:lvlText w:val=""/>
      <w:lvlJc w:val="left"/>
      <w:pPr>
        <w:ind w:left="2880" w:hanging="360"/>
      </w:pPr>
      <w:rPr>
        <w:rFonts w:ascii="Symbol" w:hAnsi="Symbol" w:hint="default"/>
      </w:rPr>
    </w:lvl>
    <w:lvl w:ilvl="4" w:tplc="63A404E6" w:tentative="1">
      <w:start w:val="1"/>
      <w:numFmt w:val="bullet"/>
      <w:lvlText w:val="o"/>
      <w:lvlJc w:val="left"/>
      <w:pPr>
        <w:ind w:left="3600" w:hanging="360"/>
      </w:pPr>
      <w:rPr>
        <w:rFonts w:ascii="Courier New" w:hAnsi="Courier New" w:cs="Courier New" w:hint="default"/>
      </w:rPr>
    </w:lvl>
    <w:lvl w:ilvl="5" w:tplc="37EA8302" w:tentative="1">
      <w:start w:val="1"/>
      <w:numFmt w:val="bullet"/>
      <w:lvlText w:val=""/>
      <w:lvlJc w:val="left"/>
      <w:pPr>
        <w:ind w:left="4320" w:hanging="360"/>
      </w:pPr>
      <w:rPr>
        <w:rFonts w:ascii="Wingdings" w:hAnsi="Wingdings" w:hint="default"/>
      </w:rPr>
    </w:lvl>
    <w:lvl w:ilvl="6" w:tplc="69C89B90" w:tentative="1">
      <w:start w:val="1"/>
      <w:numFmt w:val="bullet"/>
      <w:lvlText w:val=""/>
      <w:lvlJc w:val="left"/>
      <w:pPr>
        <w:ind w:left="5040" w:hanging="360"/>
      </w:pPr>
      <w:rPr>
        <w:rFonts w:ascii="Symbol" w:hAnsi="Symbol" w:hint="default"/>
      </w:rPr>
    </w:lvl>
    <w:lvl w:ilvl="7" w:tplc="55C0FA32" w:tentative="1">
      <w:start w:val="1"/>
      <w:numFmt w:val="bullet"/>
      <w:lvlText w:val="o"/>
      <w:lvlJc w:val="left"/>
      <w:pPr>
        <w:ind w:left="5760" w:hanging="360"/>
      </w:pPr>
      <w:rPr>
        <w:rFonts w:ascii="Courier New" w:hAnsi="Courier New" w:cs="Courier New" w:hint="default"/>
      </w:rPr>
    </w:lvl>
    <w:lvl w:ilvl="8" w:tplc="F6B6601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4A"/>
    <w:rsid w:val="006139A2"/>
    <w:rsid w:val="00F76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5DDC6-C6D3-485E-8880-22A7BE4F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CharAttribute12">
    <w:name w:val="CharAttribute12"/>
    <w:rsid w:val="007B574D"/>
    <w:rPr>
      <w:rFonts w:ascii="Arial" w:eastAsia="Arial"/>
      <w:sz w:val="24"/>
    </w:rPr>
  </w:style>
  <w:style w:type="paragraph" w:styleId="BalloonText">
    <w:name w:val="Balloon Text"/>
    <w:basedOn w:val="Normal"/>
    <w:link w:val="BalloonTextChar"/>
    <w:uiPriority w:val="99"/>
    <w:semiHidden/>
    <w:unhideWhenUsed/>
    <w:rsid w:val="00E83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445"/>
    <w:rPr>
      <w:rFonts w:ascii="Segoe UI" w:eastAsia="Calibri" w:hAnsi="Segoe UI" w:cs="Segoe UI"/>
      <w:color w:val="000000"/>
      <w:sz w:val="18"/>
      <w:szCs w:val="18"/>
      <w:lang w:eastAsia="en-GB"/>
    </w:rPr>
  </w:style>
  <w:style w:type="character" w:styleId="CommentReference">
    <w:name w:val="annotation reference"/>
    <w:basedOn w:val="DefaultParagraphFont"/>
    <w:uiPriority w:val="99"/>
    <w:semiHidden/>
    <w:unhideWhenUsed/>
    <w:rsid w:val="00387EE0"/>
    <w:rPr>
      <w:sz w:val="16"/>
      <w:szCs w:val="16"/>
    </w:rPr>
  </w:style>
  <w:style w:type="paragraph" w:styleId="CommentText">
    <w:name w:val="annotation text"/>
    <w:basedOn w:val="Normal"/>
    <w:link w:val="CommentTextChar"/>
    <w:uiPriority w:val="99"/>
    <w:semiHidden/>
    <w:unhideWhenUsed/>
    <w:rsid w:val="00387EE0"/>
    <w:pPr>
      <w:spacing w:line="240" w:lineRule="auto"/>
    </w:pPr>
    <w:rPr>
      <w:sz w:val="20"/>
      <w:szCs w:val="20"/>
    </w:rPr>
  </w:style>
  <w:style w:type="character" w:customStyle="1" w:styleId="CommentTextChar">
    <w:name w:val="Comment Text Char"/>
    <w:basedOn w:val="DefaultParagraphFont"/>
    <w:link w:val="CommentText"/>
    <w:uiPriority w:val="99"/>
    <w:semiHidden/>
    <w:rsid w:val="00387EE0"/>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387EE0"/>
    <w:rPr>
      <w:b/>
      <w:bCs/>
    </w:rPr>
  </w:style>
  <w:style w:type="character" w:customStyle="1" w:styleId="CommentSubjectChar">
    <w:name w:val="Comment Subject Char"/>
    <w:basedOn w:val="CommentTextChar"/>
    <w:link w:val="CommentSubject"/>
    <w:uiPriority w:val="99"/>
    <w:semiHidden/>
    <w:rsid w:val="00387EE0"/>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49081-48B4-47EE-AF57-8EEF6596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12</cp:revision>
  <cp:lastPrinted>2018-06-21T15:02:00Z</cp:lastPrinted>
  <dcterms:created xsi:type="dcterms:W3CDTF">2015-06-25T10:41:00Z</dcterms:created>
  <dcterms:modified xsi:type="dcterms:W3CDTF">2018-06-28T11:54:00Z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Growth Deal Management Board</vt:lpwstr>
  </property>
  <property fmtid="{D5CDD505-2E9C-101B-9397-08002B2CF9AE}" pid="3" name="IssueTitle">
    <vt:lpwstr>Growth Deal Programme - Governance Documents</vt:lpwstr>
  </property>
  <property fmtid="{D5CDD505-2E9C-101B-9397-08002B2CF9AE}" pid="4" name="LeadOfficer">
    <vt:lpwstr>Anne-Marie Parkinson</vt:lpwstr>
  </property>
  <property fmtid="{D5CDD505-2E9C-101B-9397-08002B2CF9AE}" pid="5" name="LeadOfficerEmail">
    <vt:lpwstr>anne-marie.parkinson@lancashire.gov.uk</vt:lpwstr>
  </property>
  <property fmtid="{D5CDD505-2E9C-101B-9397-08002B2CF9AE}" pid="6" name="LeadOfficerTel">
    <vt:lpwstr/>
  </property>
  <property fmtid="{D5CDD505-2E9C-101B-9397-08002B2CF9AE}" pid="7" name="MeetingDate">
    <vt:lpwstr>Monday, 2 July 2018</vt:lpwstr>
  </property>
</Properties>
</file>